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C58A" w14:textId="7FFCEC8D" w:rsidR="002C0F2B" w:rsidRDefault="00A638D7" w:rsidP="00A638D7">
      <w:pPr>
        <w:jc w:val="right"/>
        <w:rPr>
          <w:sz w:val="22"/>
          <w:szCs w:val="22"/>
          <w:lang w:val="en-GB"/>
        </w:rPr>
      </w:pPr>
      <w:r w:rsidRPr="00BF2F50">
        <w:rPr>
          <w:b/>
          <w:noProof/>
          <w:color w:val="000000"/>
          <w:lang w:val="en-GB" w:eastAsia="en-GB"/>
        </w:rPr>
        <w:drawing>
          <wp:anchor distT="0" distB="0" distL="114300" distR="114300" simplePos="0" relativeHeight="251659264" behindDoc="0" locked="0" layoutInCell="1" allowOverlap="1" wp14:anchorId="3E4B37C3" wp14:editId="704F31E9">
            <wp:simplePos x="0" y="0"/>
            <wp:positionH relativeFrom="margin">
              <wp:posOffset>4208462</wp:posOffset>
            </wp:positionH>
            <wp:positionV relativeFrom="paragraph">
              <wp:posOffset>52388</wp:posOffset>
            </wp:positionV>
            <wp:extent cx="1456055" cy="1690370"/>
            <wp:effectExtent l="19050" t="19050" r="10795" b="24130"/>
            <wp:wrapSquare wrapText="bothSides"/>
            <wp:docPr id="847303260" name="Picture 847303260" descr="C:\Documents and Settings\All Users\Документы\Мои рисунки\Образцы рисунков\Akbar_photo p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l Users\Документы\Мои рисунки\Образцы рисунков\Akbar_photo place.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colorTemperature colorTemp="5677"/>
                              </a14:imgEffect>
                              <a14:imgEffect>
                                <a14:saturation sat="125000"/>
                              </a14:imgEffect>
                            </a14:imgLayer>
                          </a14:imgProps>
                        </a:ext>
                        <a:ext uri="{28A0092B-C50C-407E-A947-70E740481C1C}">
                          <a14:useLocalDpi xmlns:a14="http://schemas.microsoft.com/office/drawing/2010/main" val="0"/>
                        </a:ext>
                      </a:extLst>
                    </a:blip>
                    <a:srcRect/>
                    <a:stretch>
                      <a:fillRect/>
                    </a:stretch>
                  </pic:blipFill>
                  <pic:spPr bwMode="auto">
                    <a:xfrm>
                      <a:off x="0" y="0"/>
                      <a:ext cx="1456055" cy="169037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2C0F2B">
        <w:rPr>
          <w:sz w:val="22"/>
          <w:szCs w:val="22"/>
          <w:lang w:val="en-GB"/>
        </w:rPr>
        <w:t xml:space="preserve">                                                                                                                       </w:t>
      </w:r>
    </w:p>
    <w:p w14:paraId="327BF0E2" w14:textId="77777777" w:rsidR="00A638D7" w:rsidRDefault="00A638D7" w:rsidP="00AC3BCD">
      <w:pPr>
        <w:rPr>
          <w:rFonts w:eastAsia="MS PGothic"/>
          <w:b/>
          <w:color w:val="000000"/>
          <w:sz w:val="28"/>
          <w:szCs w:val="28"/>
        </w:rPr>
      </w:pPr>
    </w:p>
    <w:p w14:paraId="609CDF6C" w14:textId="77777777" w:rsidR="00A638D7" w:rsidRDefault="00A638D7" w:rsidP="00AC3BCD">
      <w:pPr>
        <w:rPr>
          <w:rFonts w:eastAsia="MS PGothic"/>
          <w:b/>
          <w:color w:val="000000"/>
          <w:sz w:val="28"/>
          <w:szCs w:val="28"/>
        </w:rPr>
      </w:pPr>
    </w:p>
    <w:p w14:paraId="50FF43BA" w14:textId="77777777" w:rsidR="00A638D7" w:rsidRDefault="00A638D7" w:rsidP="00AC3BCD">
      <w:pPr>
        <w:rPr>
          <w:rFonts w:eastAsia="MS PGothic"/>
          <w:b/>
          <w:color w:val="000000"/>
          <w:sz w:val="28"/>
          <w:szCs w:val="28"/>
        </w:rPr>
      </w:pPr>
    </w:p>
    <w:p w14:paraId="11D8346F" w14:textId="77777777" w:rsidR="00A638D7" w:rsidRDefault="00A638D7" w:rsidP="00AC3BCD">
      <w:pPr>
        <w:rPr>
          <w:rFonts w:eastAsia="MS PGothic"/>
          <w:b/>
          <w:color w:val="000000"/>
          <w:sz w:val="28"/>
          <w:szCs w:val="28"/>
        </w:rPr>
      </w:pPr>
    </w:p>
    <w:p w14:paraId="40229647" w14:textId="77777777" w:rsidR="00A638D7" w:rsidRDefault="00A638D7" w:rsidP="00AC3BCD">
      <w:pPr>
        <w:rPr>
          <w:rFonts w:eastAsia="MS PGothic"/>
          <w:b/>
          <w:color w:val="000000"/>
          <w:sz w:val="28"/>
          <w:szCs w:val="28"/>
        </w:rPr>
      </w:pPr>
    </w:p>
    <w:p w14:paraId="3D6084AE" w14:textId="77777777" w:rsidR="00A638D7" w:rsidRDefault="00A638D7" w:rsidP="00AC3BCD">
      <w:pPr>
        <w:rPr>
          <w:rFonts w:eastAsia="MS PGothic"/>
          <w:b/>
          <w:color w:val="000000"/>
          <w:sz w:val="28"/>
          <w:szCs w:val="28"/>
        </w:rPr>
      </w:pPr>
    </w:p>
    <w:p w14:paraId="2B749A3A" w14:textId="77777777" w:rsidR="00A638D7" w:rsidRDefault="00A638D7" w:rsidP="00AC3BCD">
      <w:pPr>
        <w:rPr>
          <w:rFonts w:eastAsia="MS PGothic"/>
          <w:b/>
          <w:color w:val="000000"/>
          <w:sz w:val="28"/>
          <w:szCs w:val="28"/>
        </w:rPr>
      </w:pPr>
    </w:p>
    <w:p w14:paraId="3C84A1EC" w14:textId="77777777" w:rsidR="00A638D7" w:rsidRDefault="00A638D7" w:rsidP="00AC3BCD">
      <w:pPr>
        <w:rPr>
          <w:rFonts w:eastAsia="MS PGothic"/>
          <w:b/>
          <w:color w:val="000000"/>
          <w:sz w:val="28"/>
          <w:szCs w:val="28"/>
        </w:rPr>
      </w:pPr>
    </w:p>
    <w:p w14:paraId="6B822196" w14:textId="334D6E13" w:rsidR="00AC3BCD" w:rsidRDefault="00AC3BCD" w:rsidP="00A638D7">
      <w:pPr>
        <w:rPr>
          <w:rFonts w:eastAsia="MS PGothic"/>
          <w:b/>
          <w:color w:val="000000"/>
          <w:sz w:val="28"/>
          <w:szCs w:val="28"/>
        </w:rPr>
      </w:pPr>
      <w:r>
        <w:rPr>
          <w:rFonts w:eastAsia="MS PGothic"/>
          <w:b/>
          <w:color w:val="000000"/>
          <w:sz w:val="28"/>
          <w:szCs w:val="28"/>
        </w:rPr>
        <w:t xml:space="preserve">Title: </w:t>
      </w:r>
      <w:r w:rsidR="000B4722" w:rsidRPr="000B4722">
        <w:rPr>
          <w:rFonts w:eastAsia="MS PGothic"/>
          <w:b/>
          <w:color w:val="000000"/>
          <w:sz w:val="28"/>
          <w:szCs w:val="28"/>
        </w:rPr>
        <w:t>Efficacy and Economics of Different Postemergence Herbicides for Controlling Weeds in Wheat (</w:t>
      </w:r>
      <w:r w:rsidR="000B4722" w:rsidRPr="00A35635">
        <w:rPr>
          <w:rFonts w:eastAsia="MS PGothic"/>
          <w:b/>
          <w:i/>
          <w:iCs/>
          <w:color w:val="000000"/>
          <w:sz w:val="28"/>
          <w:szCs w:val="28"/>
        </w:rPr>
        <w:t>Triticum aestivum</w:t>
      </w:r>
      <w:r w:rsidR="000B4722" w:rsidRPr="000B4722">
        <w:rPr>
          <w:rFonts w:eastAsia="MS PGothic"/>
          <w:b/>
          <w:color w:val="000000"/>
          <w:sz w:val="28"/>
          <w:szCs w:val="28"/>
        </w:rPr>
        <w:t xml:space="preserve"> L.) under Zero-Tillage Condition</w:t>
      </w:r>
    </w:p>
    <w:p w14:paraId="21AAE886" w14:textId="77777777" w:rsidR="00A35635" w:rsidRDefault="00A35635" w:rsidP="00AC3BCD">
      <w:pPr>
        <w:rPr>
          <w:rFonts w:eastAsia="MS PGothic"/>
          <w:b/>
          <w:color w:val="000000"/>
          <w:sz w:val="28"/>
          <w:szCs w:val="28"/>
        </w:rPr>
      </w:pPr>
    </w:p>
    <w:p w14:paraId="0939182D" w14:textId="77777777" w:rsidR="00A35635" w:rsidRDefault="00AC3BCD" w:rsidP="00A35635">
      <w:pPr>
        <w:jc w:val="center"/>
        <w:rPr>
          <w:rFonts w:eastAsia="MS PGothic" w:hAnsi="Arial"/>
          <w:color w:val="000000"/>
        </w:rPr>
      </w:pPr>
      <w:r>
        <w:rPr>
          <w:rFonts w:eastAsia="MS PGothic" w:hAnsi="Arial"/>
          <w:color w:val="000000"/>
        </w:rPr>
        <w:t xml:space="preserve">Name: </w:t>
      </w:r>
      <w:r w:rsidR="000B4722" w:rsidRPr="00656814">
        <w:rPr>
          <w:rFonts w:eastAsia="MS PGothic" w:hAnsi="Arial"/>
          <w:b/>
          <w:bCs/>
          <w:color w:val="000000"/>
        </w:rPr>
        <w:t>Akbar Hossai</w:t>
      </w:r>
      <w:r w:rsidR="00A35635" w:rsidRPr="00656814">
        <w:rPr>
          <w:rFonts w:eastAsia="MS PGothic" w:hAnsi="Arial"/>
          <w:b/>
          <w:bCs/>
          <w:color w:val="000000"/>
        </w:rPr>
        <w:t>n</w:t>
      </w:r>
    </w:p>
    <w:p w14:paraId="53D28EE1" w14:textId="0BEFCA85" w:rsidR="00AC3BCD" w:rsidRDefault="000B4722" w:rsidP="00A35635">
      <w:pPr>
        <w:jc w:val="center"/>
        <w:rPr>
          <w:rFonts w:eastAsia="MS PGothic" w:hAnsi="Arial"/>
          <w:color w:val="000000"/>
        </w:rPr>
      </w:pPr>
      <w:r>
        <w:rPr>
          <w:rFonts w:eastAsia="MS PGothic" w:hAnsi="Arial"/>
          <w:color w:val="000000"/>
        </w:rPr>
        <w:t>Bangladesh Wheat and Maize Research Institute, Dinajpur 5200, Bangladesh</w:t>
      </w:r>
    </w:p>
    <w:p w14:paraId="4FC027BA" w14:textId="77777777" w:rsidR="00AC3BCD" w:rsidRDefault="00AC3BCD" w:rsidP="000B4722">
      <w:pPr>
        <w:ind w:firstLine="567"/>
        <w:jc w:val="center"/>
        <w:rPr>
          <w:rFonts w:eastAsia="Batang"/>
          <w:color w:val="0000FF"/>
          <w:sz w:val="36"/>
          <w:szCs w:val="36"/>
        </w:rPr>
      </w:pPr>
    </w:p>
    <w:p w14:paraId="18E4B7DC" w14:textId="5EFD9528" w:rsidR="00AC3BCD" w:rsidRDefault="000B4722" w:rsidP="000B4722">
      <w:pPr>
        <w:ind w:firstLine="567"/>
        <w:jc w:val="both"/>
        <w:rPr>
          <w:rFonts w:eastAsia="MS PGothic"/>
          <w:color w:val="000000"/>
          <w:szCs w:val="32"/>
        </w:rPr>
      </w:pPr>
      <w:r w:rsidRPr="000B4722">
        <w:rPr>
          <w:rFonts w:eastAsia="MS PGothic"/>
          <w:color w:val="000000"/>
          <w:szCs w:val="32"/>
        </w:rPr>
        <w:t>The conservation agriculture (CA)-based zero-tillage (ZT)-wheat cultivation system in Bangladesh is still in the initial stage since the system initially faced weed pressure. Herbicides are the best option for controlling weeds in this system. In this context, an observation entitled ‘Efficacy and economics of different postemergence herbicides for weed control in wheat under zero-till conditions’ was conducted in two consecutive years, to identify the efficacy and economies of different postemergence herbicides for weed control in CA-based ZT wheat under the W-M-R cropping system and to determine the effects of different herbicides on the growth, yield attributes and yield of CA-based ZT-wheat under the W-M-R cropping system. The treatments applied in the study were as follows: T</w:t>
      </w:r>
      <w:r w:rsidRPr="003F49B7">
        <w:rPr>
          <w:rFonts w:eastAsia="MS PGothic"/>
          <w:color w:val="000000"/>
          <w:szCs w:val="32"/>
          <w:vertAlign w:val="subscript"/>
        </w:rPr>
        <w:t>1</w:t>
      </w:r>
      <w:r w:rsidRPr="000B4722">
        <w:rPr>
          <w:rFonts w:eastAsia="MS PGothic"/>
          <w:color w:val="000000"/>
          <w:szCs w:val="32"/>
        </w:rPr>
        <w:t>: a ready-mix formulation of Sulfosulfuron + Metsulfuron; T</w:t>
      </w:r>
      <w:r w:rsidRPr="003F49B7">
        <w:rPr>
          <w:rFonts w:eastAsia="MS PGothic"/>
          <w:color w:val="000000"/>
          <w:szCs w:val="32"/>
          <w:vertAlign w:val="subscript"/>
        </w:rPr>
        <w:t>2</w:t>
      </w:r>
      <w:r w:rsidRPr="000B4722">
        <w:rPr>
          <w:rFonts w:eastAsia="MS PGothic"/>
          <w:color w:val="000000"/>
          <w:szCs w:val="32"/>
        </w:rPr>
        <w:t>: a ready-mix formulation of Mesosulfuron + Idosulfuron; T</w:t>
      </w:r>
      <w:r w:rsidRPr="003F49B7">
        <w:rPr>
          <w:rFonts w:eastAsia="MS PGothic"/>
          <w:color w:val="000000"/>
          <w:szCs w:val="32"/>
          <w:vertAlign w:val="subscript"/>
        </w:rPr>
        <w:t>3</w:t>
      </w:r>
      <w:r w:rsidRPr="000B4722">
        <w:rPr>
          <w:rFonts w:eastAsia="MS PGothic"/>
          <w:color w:val="000000"/>
          <w:szCs w:val="32"/>
        </w:rPr>
        <w:t>: Pinoxaden; T</w:t>
      </w:r>
      <w:r w:rsidRPr="003F49B7">
        <w:rPr>
          <w:rFonts w:eastAsia="MS PGothic"/>
          <w:color w:val="000000"/>
          <w:szCs w:val="32"/>
          <w:vertAlign w:val="subscript"/>
        </w:rPr>
        <w:t>4</w:t>
      </w:r>
      <w:r w:rsidRPr="000B4722">
        <w:rPr>
          <w:rFonts w:eastAsia="MS PGothic"/>
          <w:color w:val="000000"/>
          <w:szCs w:val="32"/>
        </w:rPr>
        <w:t>: a ready-mix formulation of Carfentrazone + Isoproturon; T</w:t>
      </w:r>
      <w:r w:rsidRPr="003F49B7">
        <w:rPr>
          <w:rFonts w:eastAsia="MS PGothic"/>
          <w:color w:val="000000"/>
          <w:szCs w:val="32"/>
          <w:vertAlign w:val="subscript"/>
        </w:rPr>
        <w:t>5</w:t>
      </w:r>
      <w:r w:rsidRPr="000B4722">
        <w:rPr>
          <w:rFonts w:eastAsia="MS PGothic"/>
          <w:color w:val="000000"/>
          <w:szCs w:val="32"/>
        </w:rPr>
        <w:t>: Pinoxaden + Metsulfuron; T</w:t>
      </w:r>
      <w:r w:rsidRPr="003F49B7">
        <w:rPr>
          <w:rFonts w:eastAsia="MS PGothic"/>
          <w:color w:val="000000"/>
          <w:szCs w:val="32"/>
          <w:vertAlign w:val="subscript"/>
        </w:rPr>
        <w:t>6</w:t>
      </w:r>
      <w:r w:rsidRPr="000B4722">
        <w:rPr>
          <w:rFonts w:eastAsia="MS PGothic"/>
          <w:color w:val="000000"/>
          <w:szCs w:val="32"/>
        </w:rPr>
        <w:t>: Pinoxaden + Carfentrazone; T</w:t>
      </w:r>
      <w:r w:rsidRPr="003F49B7">
        <w:rPr>
          <w:rFonts w:eastAsia="MS PGothic"/>
          <w:color w:val="000000"/>
          <w:szCs w:val="32"/>
          <w:vertAlign w:val="subscript"/>
        </w:rPr>
        <w:t>7</w:t>
      </w:r>
      <w:r w:rsidRPr="000B4722">
        <w:rPr>
          <w:rFonts w:eastAsia="MS PGothic"/>
          <w:color w:val="000000"/>
          <w:szCs w:val="32"/>
        </w:rPr>
        <w:t>: Halosulfuron; T</w:t>
      </w:r>
      <w:r w:rsidRPr="003F49B7">
        <w:rPr>
          <w:rFonts w:eastAsia="MS PGothic"/>
          <w:color w:val="000000"/>
          <w:szCs w:val="32"/>
          <w:vertAlign w:val="subscript"/>
        </w:rPr>
        <w:t>8</w:t>
      </w:r>
      <w:r w:rsidRPr="000B4722">
        <w:rPr>
          <w:rFonts w:eastAsia="MS PGothic"/>
          <w:color w:val="000000"/>
          <w:szCs w:val="32"/>
        </w:rPr>
        <w:t>: Halosulfuron + Pinoxaden; T</w:t>
      </w:r>
      <w:r w:rsidRPr="003F49B7">
        <w:rPr>
          <w:rFonts w:eastAsia="MS PGothic"/>
          <w:color w:val="000000"/>
          <w:szCs w:val="32"/>
          <w:vertAlign w:val="subscript"/>
        </w:rPr>
        <w:t>9</w:t>
      </w:r>
      <w:r w:rsidRPr="000B4722">
        <w:rPr>
          <w:rFonts w:eastAsia="MS PGothic"/>
          <w:color w:val="000000"/>
          <w:szCs w:val="32"/>
        </w:rPr>
        <w:t>: Weedy check; and T</w:t>
      </w:r>
      <w:r w:rsidRPr="003F49B7">
        <w:rPr>
          <w:rFonts w:eastAsia="MS PGothic"/>
          <w:color w:val="000000"/>
          <w:szCs w:val="32"/>
          <w:vertAlign w:val="subscript"/>
        </w:rPr>
        <w:t>10</w:t>
      </w:r>
      <w:r w:rsidRPr="000B4722">
        <w:rPr>
          <w:rFonts w:eastAsia="MS PGothic"/>
          <w:color w:val="000000"/>
          <w:szCs w:val="32"/>
        </w:rPr>
        <w:t xml:space="preserve">: Weed-free. The wheat field was infested with 13 weed species in both years of the study. In the </w:t>
      </w:r>
      <w:r w:rsidR="003F49B7">
        <w:rPr>
          <w:rFonts w:eastAsia="MS PGothic"/>
          <w:color w:val="000000"/>
          <w:szCs w:val="32"/>
        </w:rPr>
        <w:t xml:space="preserve">first </w:t>
      </w:r>
      <w:r w:rsidRPr="000B4722">
        <w:rPr>
          <w:rFonts w:eastAsia="MS PGothic"/>
          <w:color w:val="000000"/>
          <w:szCs w:val="32"/>
        </w:rPr>
        <w:t xml:space="preserve">year, three grasses were under the family Poaceae, one sedge was under the family Cyperaceae, and nine broadleaved weeds were under the families Amaranthaceae, Rubiaceae, Caryophyllaceae, Solanaceae, Polygonaceae, Fabaceae, Plantaginaceae, Euphorbiaceae and Oxalidaceae. In the </w:t>
      </w:r>
      <w:r w:rsidR="003F49B7">
        <w:rPr>
          <w:rFonts w:eastAsia="MS PGothic"/>
          <w:color w:val="000000"/>
          <w:szCs w:val="32"/>
        </w:rPr>
        <w:t>second</w:t>
      </w:r>
      <w:r w:rsidRPr="000B4722">
        <w:rPr>
          <w:rFonts w:eastAsia="MS PGothic"/>
          <w:color w:val="000000"/>
          <w:szCs w:val="32"/>
        </w:rPr>
        <w:t xml:space="preserve"> season, four types of grasses were found under the family Poaceae, one was sedge under the family Cyperaceae, and eight were noted as broadleaved weeds under the families Amaranthaceae, Rubiaceae, Caryophyllaceae, Solanaceae, Polygonaceae, Fabaceae, Plantaginaceae and Asteraceae. The significant differences (p≤0.01) were found in weed density, dry weight, percent mortality of weeds and percentage of weed control efficiency with various postemergence herbicides used for both seasons on all the emerged weed species indicating that all postemergence herbicides were able to control weeds effectively. Among these postemergence herbicides, the combination of pinoxaden + metetsulfuron and Halosulfuron + pinoxaden performed the best at controlling weeds, leading to improved productivity and economics of wheat under ZT conditions. Based on the two-year yield and the economic benefit of these three observations, the combination of the herbicides pinoxaden + metsulfuron and Halosulfuron + pinoxaden may be recommended for weed control in CA-based ZT-wheat.</w:t>
      </w:r>
    </w:p>
    <w:p w14:paraId="71467C2F" w14:textId="77777777" w:rsidR="000B4722" w:rsidRDefault="000B4722" w:rsidP="00AC3BCD">
      <w:pPr>
        <w:jc w:val="both"/>
        <w:rPr>
          <w:color w:val="000000"/>
        </w:rPr>
      </w:pPr>
    </w:p>
    <w:p w14:paraId="35E2D944" w14:textId="2F5D9ADE" w:rsidR="00AC3BCD" w:rsidRDefault="00AC3BCD" w:rsidP="00AC3BCD">
      <w:pPr>
        <w:jc w:val="both"/>
        <w:rPr>
          <w:b/>
        </w:rPr>
      </w:pPr>
      <w:r>
        <w:rPr>
          <w:b/>
        </w:rPr>
        <w:t>Biography</w:t>
      </w:r>
    </w:p>
    <w:p w14:paraId="5AB5CED5" w14:textId="39DAE92A" w:rsidR="00AC3BCD" w:rsidRDefault="000B4722" w:rsidP="00AC3BCD">
      <w:pPr>
        <w:jc w:val="both"/>
      </w:pPr>
      <w:r>
        <w:t xml:space="preserve">Akbar Hossain </w:t>
      </w:r>
      <w:r w:rsidR="00AC3BCD">
        <w:t xml:space="preserve">has completed his PhD at the age of </w:t>
      </w:r>
      <w:r>
        <w:t>3</w:t>
      </w:r>
      <w:r w:rsidR="00AC3BCD">
        <w:t>5 years from</w:t>
      </w:r>
      <w:r>
        <w:t xml:space="preserve"> Astrakhan State University, Astrakhan, Russia</w:t>
      </w:r>
      <w:r w:rsidR="00AC3BCD">
        <w:t>. He is</w:t>
      </w:r>
      <w:r>
        <w:t xml:space="preserve"> currently working as a Principal Scientist at Bangladesh Wheat and Maize Research Institute, Dinajpur, Bangladesh</w:t>
      </w:r>
      <w:r w:rsidRPr="000B4722">
        <w:t xml:space="preserve">. He is also working in several international projects related to climate smart technology, plant physiology, intercropping, management of soil health and conservation agriculture. He is authored more than </w:t>
      </w:r>
      <w:r w:rsidR="00427797">
        <w:t>6</w:t>
      </w:r>
      <w:r w:rsidRPr="000B4722">
        <w:t xml:space="preserve">00 publications. Besides these, he is also serving </w:t>
      </w:r>
      <w:r w:rsidRPr="000B4722">
        <w:lastRenderedPageBreak/>
        <w:t>as a voluntary reviewer/editor</w:t>
      </w:r>
      <w:r w:rsidR="00427797">
        <w:t xml:space="preserve"> </w:t>
      </w:r>
      <w:r w:rsidRPr="000B4722">
        <w:t>in different international journals</w:t>
      </w:r>
      <w:r w:rsidR="00427797">
        <w:t xml:space="preserve"> and </w:t>
      </w:r>
      <w:r w:rsidR="00427797" w:rsidRPr="000B4722">
        <w:t>also serving as a research supervisor of MS and PhD</w:t>
      </w:r>
      <w:r w:rsidR="00427797">
        <w:t xml:space="preserve"> </w:t>
      </w:r>
      <w:r w:rsidR="00427797" w:rsidRPr="000B4722">
        <w:t>students</w:t>
      </w:r>
      <w:r w:rsidRPr="000B4722">
        <w:t xml:space="preserve">. More details are available in the following links: </w:t>
      </w:r>
      <w:hyperlink r:id="rId10" w:history="1">
        <w:r w:rsidR="00427797" w:rsidRPr="00FA395D">
          <w:rPr>
            <w:rStyle w:val="Hyperlink"/>
          </w:rPr>
          <w:t>http://orcid.org/0000-0003-0264-2712</w:t>
        </w:r>
      </w:hyperlink>
      <w:r>
        <w:t>.</w:t>
      </w:r>
    </w:p>
    <w:p w14:paraId="7E9AB355" w14:textId="77777777" w:rsidR="00306A89" w:rsidRDefault="00306A89" w:rsidP="00AC3BCD">
      <w:pPr>
        <w:autoSpaceDE w:val="0"/>
        <w:autoSpaceDN w:val="0"/>
        <w:adjustRightInd w:val="0"/>
        <w:rPr>
          <w:b/>
          <w:lang w:val="en-NZ"/>
        </w:rPr>
      </w:pPr>
    </w:p>
    <w:p w14:paraId="4A68AC0C" w14:textId="77777777" w:rsidR="00656814" w:rsidRDefault="00072E30" w:rsidP="00AC3BCD">
      <w:pPr>
        <w:autoSpaceDE w:val="0"/>
        <w:autoSpaceDN w:val="0"/>
        <w:adjustRightInd w:val="0"/>
        <w:rPr>
          <w:lang w:val="en-NZ"/>
        </w:rPr>
      </w:pPr>
      <w:r w:rsidRPr="008A690F">
        <w:rPr>
          <w:b/>
          <w:lang w:val="en-NZ"/>
        </w:rPr>
        <w:t>Presenting author</w:t>
      </w:r>
      <w:r w:rsidR="00A41107" w:rsidRPr="008A690F">
        <w:rPr>
          <w:b/>
          <w:lang w:val="en-NZ"/>
        </w:rPr>
        <w:t xml:space="preserve"> details</w:t>
      </w:r>
      <w:r w:rsidRPr="008A690F">
        <w:rPr>
          <w:b/>
          <w:lang w:val="en-NZ"/>
        </w:rPr>
        <w:t xml:space="preserve"> </w:t>
      </w:r>
      <w:r w:rsidRPr="008A690F">
        <w:rPr>
          <w:b/>
          <w:lang w:val="en-NZ"/>
        </w:rPr>
        <w:br/>
      </w:r>
      <w:r w:rsidR="00D367E3" w:rsidRPr="008A690F">
        <w:rPr>
          <w:lang w:val="en-NZ"/>
        </w:rPr>
        <w:t xml:space="preserve">Full name: </w:t>
      </w:r>
      <w:r w:rsidR="00656814">
        <w:rPr>
          <w:lang w:val="en-NZ"/>
        </w:rPr>
        <w:t>Akbar Hossain</w:t>
      </w:r>
      <w:r w:rsidRPr="008A690F">
        <w:rPr>
          <w:lang w:val="en-NZ"/>
        </w:rPr>
        <w:br/>
        <w:t>Contact number:</w:t>
      </w:r>
      <w:r w:rsidR="00656814">
        <w:rPr>
          <w:lang w:val="en-NZ"/>
        </w:rPr>
        <w:t xml:space="preserve"> +880-1790049609</w:t>
      </w:r>
    </w:p>
    <w:p w14:paraId="0BCCA603" w14:textId="2DB42616" w:rsidR="00A41107" w:rsidRPr="008A690F" w:rsidRDefault="00656814" w:rsidP="00AC3BCD">
      <w:pPr>
        <w:autoSpaceDE w:val="0"/>
        <w:autoSpaceDN w:val="0"/>
        <w:adjustRightInd w:val="0"/>
        <w:rPr>
          <w:b/>
          <w:lang w:val="en-NZ"/>
        </w:rPr>
      </w:pPr>
      <w:r>
        <w:rPr>
          <w:lang w:val="en-NZ"/>
        </w:rPr>
        <w:t xml:space="preserve">Contract email: </w:t>
      </w:r>
      <w:hyperlink r:id="rId11" w:history="1">
        <w:r w:rsidRPr="00FA395D">
          <w:rPr>
            <w:rStyle w:val="Hyperlink"/>
            <w:lang w:val="en-NZ"/>
          </w:rPr>
          <w:t>akbarhossainwrc@gmail.com</w:t>
        </w:r>
      </w:hyperlink>
      <w:r>
        <w:rPr>
          <w:lang w:val="en-NZ"/>
        </w:rPr>
        <w:t xml:space="preserve"> </w:t>
      </w:r>
      <w:r w:rsidR="00072E30" w:rsidRPr="008A690F">
        <w:rPr>
          <w:lang w:val="en-NZ"/>
        </w:rPr>
        <w:br/>
        <w:t>Twitter account</w:t>
      </w:r>
      <w:r>
        <w:rPr>
          <w:lang w:val="en-NZ"/>
        </w:rPr>
        <w:t>/FB account</w:t>
      </w:r>
      <w:r w:rsidR="00072E30" w:rsidRPr="008A690F">
        <w:rPr>
          <w:lang w:val="en-NZ"/>
        </w:rPr>
        <w:t>:</w:t>
      </w:r>
      <w:r>
        <w:rPr>
          <w:lang w:val="en-NZ"/>
        </w:rPr>
        <w:t xml:space="preserve"> </w:t>
      </w:r>
      <w:hyperlink r:id="rId12" w:history="1">
        <w:r w:rsidRPr="00FA395D">
          <w:rPr>
            <w:rStyle w:val="Hyperlink"/>
            <w:lang w:val="en-NZ"/>
          </w:rPr>
          <w:t>https://www.facebook.com/akbar.hossain.73</w:t>
        </w:r>
      </w:hyperlink>
      <w:r>
        <w:rPr>
          <w:lang w:val="en-NZ"/>
        </w:rPr>
        <w:t xml:space="preserve"> </w:t>
      </w:r>
      <w:r w:rsidR="00072E30" w:rsidRPr="008A690F">
        <w:rPr>
          <w:lang w:val="en-NZ"/>
        </w:rPr>
        <w:br/>
        <w:t>Linked In account:</w:t>
      </w:r>
      <w:r w:rsidRPr="00656814">
        <w:t xml:space="preserve"> </w:t>
      </w:r>
      <w:hyperlink r:id="rId13" w:history="1">
        <w:r w:rsidRPr="00FA395D">
          <w:rPr>
            <w:rStyle w:val="Hyperlink"/>
          </w:rPr>
          <w:t>http://orcid.org/0000-0003-0264-2712</w:t>
        </w:r>
      </w:hyperlink>
      <w:r>
        <w:t xml:space="preserve"> </w:t>
      </w:r>
    </w:p>
    <w:p w14:paraId="45097265" w14:textId="501192DF" w:rsidR="00AD6315" w:rsidRDefault="00AC3BCD" w:rsidP="00AC3BCD">
      <w:pPr>
        <w:autoSpaceDE w:val="0"/>
        <w:autoSpaceDN w:val="0"/>
        <w:adjustRightInd w:val="0"/>
        <w:rPr>
          <w:lang w:val="en-NZ"/>
        </w:rPr>
      </w:pPr>
      <w:r w:rsidRPr="008A690F">
        <w:rPr>
          <w:lang w:val="en-NZ"/>
        </w:rPr>
        <w:t>Session</w:t>
      </w:r>
      <w:r w:rsidR="00DA581F" w:rsidRPr="008A690F">
        <w:rPr>
          <w:lang w:val="en-NZ"/>
        </w:rPr>
        <w:t xml:space="preserve"> </w:t>
      </w:r>
      <w:r w:rsidR="00085B88" w:rsidRPr="008A690F">
        <w:rPr>
          <w:lang w:val="en-NZ"/>
        </w:rPr>
        <w:t>n</w:t>
      </w:r>
      <w:r w:rsidRPr="008A690F">
        <w:rPr>
          <w:lang w:val="en-NZ"/>
        </w:rPr>
        <w:t>ame</w:t>
      </w:r>
      <w:r w:rsidR="00DA581F" w:rsidRPr="008A690F">
        <w:rPr>
          <w:lang w:val="en-NZ"/>
        </w:rPr>
        <w:t>/number</w:t>
      </w:r>
      <w:r w:rsidRPr="008A690F">
        <w:rPr>
          <w:lang w:val="en-NZ"/>
        </w:rPr>
        <w:t>:</w:t>
      </w:r>
      <w:r w:rsidR="00656814">
        <w:rPr>
          <w:lang w:val="en-NZ"/>
        </w:rPr>
        <w:t xml:space="preserve"> Agronomy and Agricultural Research</w:t>
      </w:r>
      <w:r w:rsidRPr="008A690F">
        <w:rPr>
          <w:lang w:val="en-NZ"/>
        </w:rPr>
        <w:br/>
        <w:t>Category: Poster</w:t>
      </w:r>
      <w:r w:rsidR="00085B88" w:rsidRPr="008A690F">
        <w:rPr>
          <w:lang w:val="en-NZ"/>
        </w:rPr>
        <w:t xml:space="preserve"> presentation</w:t>
      </w:r>
      <w:r w:rsidR="00DA581F">
        <w:rPr>
          <w:lang w:val="en-NZ"/>
        </w:rPr>
        <w:br/>
      </w:r>
    </w:p>
    <w:p w14:paraId="1676541A" w14:textId="77777777" w:rsidR="00AD6315" w:rsidRDefault="00AD6315" w:rsidP="00AC3BCD">
      <w:pPr>
        <w:autoSpaceDE w:val="0"/>
        <w:autoSpaceDN w:val="0"/>
        <w:adjustRightInd w:val="0"/>
        <w:rPr>
          <w:lang w:val="en-NZ"/>
        </w:rPr>
      </w:pPr>
    </w:p>
    <w:p w14:paraId="548520E4" w14:textId="77777777" w:rsidR="00AD6315" w:rsidRDefault="00AD6315" w:rsidP="00AC3BCD">
      <w:pPr>
        <w:autoSpaceDE w:val="0"/>
        <w:autoSpaceDN w:val="0"/>
        <w:adjustRightInd w:val="0"/>
        <w:rPr>
          <w:lang w:val="en-NZ"/>
        </w:rPr>
      </w:pPr>
    </w:p>
    <w:p w14:paraId="124BB48E" w14:textId="77777777" w:rsidR="00AD6315" w:rsidRDefault="00AD6315" w:rsidP="00AC3BCD">
      <w:pPr>
        <w:autoSpaceDE w:val="0"/>
        <w:autoSpaceDN w:val="0"/>
        <w:adjustRightInd w:val="0"/>
        <w:rPr>
          <w:lang w:val="en-NZ"/>
        </w:rPr>
      </w:pPr>
    </w:p>
    <w:p w14:paraId="7D5A6A5F" w14:textId="77777777" w:rsidR="00AD6315" w:rsidRDefault="00AD6315" w:rsidP="00AC3BCD">
      <w:pPr>
        <w:autoSpaceDE w:val="0"/>
        <w:autoSpaceDN w:val="0"/>
        <w:adjustRightInd w:val="0"/>
        <w:rPr>
          <w:lang w:val="en-NZ"/>
        </w:rPr>
      </w:pPr>
    </w:p>
    <w:p w14:paraId="10AFC6F6" w14:textId="77777777" w:rsidR="00AC3BCD" w:rsidRDefault="00AC3BCD" w:rsidP="00072E30">
      <w:pPr>
        <w:jc w:val="both"/>
        <w:rPr>
          <w:lang w:val="en-NZ"/>
        </w:rPr>
      </w:pPr>
    </w:p>
    <w:sectPr w:rsidR="00AC3BCD" w:rsidSect="001F414A">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E829" w14:textId="77777777" w:rsidR="00557C27" w:rsidRDefault="00557C27" w:rsidP="00671A59">
      <w:r>
        <w:separator/>
      </w:r>
    </w:p>
  </w:endnote>
  <w:endnote w:type="continuationSeparator" w:id="0">
    <w:p w14:paraId="2780DCDB" w14:textId="77777777" w:rsidR="00557C27" w:rsidRDefault="00557C27" w:rsidP="0067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44EF" w14:textId="77777777" w:rsidR="00AD6315" w:rsidRDefault="00AD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08C5" w14:textId="77777777" w:rsidR="00AD6315" w:rsidRDefault="00AD6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F31E" w14:textId="77777777" w:rsidR="00AD6315" w:rsidRDefault="00AD6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F57B" w14:textId="77777777" w:rsidR="00557C27" w:rsidRDefault="00557C27" w:rsidP="00671A59">
      <w:r>
        <w:separator/>
      </w:r>
    </w:p>
  </w:footnote>
  <w:footnote w:type="continuationSeparator" w:id="0">
    <w:p w14:paraId="0B6E3783" w14:textId="77777777" w:rsidR="00557C27" w:rsidRDefault="00557C27" w:rsidP="0067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BF72" w14:textId="77777777" w:rsidR="007F0333" w:rsidRPr="00671A59" w:rsidRDefault="007F0333">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7FA0" w14:textId="77777777" w:rsidR="00AD6315" w:rsidRDefault="00AD6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E281" w14:textId="77777777" w:rsidR="00AD6315" w:rsidRDefault="00AD6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2DF0"/>
    <w:multiLevelType w:val="hybridMultilevel"/>
    <w:tmpl w:val="7EFC2A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02345"/>
    <w:multiLevelType w:val="hybridMultilevel"/>
    <w:tmpl w:val="8A7E95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B77F95"/>
    <w:multiLevelType w:val="multilevel"/>
    <w:tmpl w:val="7EFC2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41037415">
    <w:abstractNumId w:val="0"/>
  </w:num>
  <w:num w:numId="2" w16cid:durableId="1421874522">
    <w:abstractNumId w:val="2"/>
  </w:num>
  <w:num w:numId="3" w16cid:durableId="162734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76"/>
    <w:rsid w:val="00023D76"/>
    <w:rsid w:val="00072E30"/>
    <w:rsid w:val="00085B88"/>
    <w:rsid w:val="00090564"/>
    <w:rsid w:val="00097CA5"/>
    <w:rsid w:val="000A4C72"/>
    <w:rsid w:val="000B4722"/>
    <w:rsid w:val="000E7A02"/>
    <w:rsid w:val="00101A04"/>
    <w:rsid w:val="00106952"/>
    <w:rsid w:val="001216E5"/>
    <w:rsid w:val="0013563F"/>
    <w:rsid w:val="00145878"/>
    <w:rsid w:val="001855AB"/>
    <w:rsid w:val="001A411C"/>
    <w:rsid w:val="001B1336"/>
    <w:rsid w:val="001B6DE6"/>
    <w:rsid w:val="001F414A"/>
    <w:rsid w:val="00205354"/>
    <w:rsid w:val="002659F1"/>
    <w:rsid w:val="00270EC9"/>
    <w:rsid w:val="00292DC0"/>
    <w:rsid w:val="002B18D5"/>
    <w:rsid w:val="002C0F2B"/>
    <w:rsid w:val="00306A89"/>
    <w:rsid w:val="003753DD"/>
    <w:rsid w:val="003A4429"/>
    <w:rsid w:val="003F49B7"/>
    <w:rsid w:val="003F6614"/>
    <w:rsid w:val="00427797"/>
    <w:rsid w:val="00450728"/>
    <w:rsid w:val="004775E3"/>
    <w:rsid w:val="0049217F"/>
    <w:rsid w:val="004A262E"/>
    <w:rsid w:val="004A2CA1"/>
    <w:rsid w:val="004B3B30"/>
    <w:rsid w:val="004D3CA0"/>
    <w:rsid w:val="00505DA1"/>
    <w:rsid w:val="005408D9"/>
    <w:rsid w:val="00555DAD"/>
    <w:rsid w:val="00557C27"/>
    <w:rsid w:val="005679BD"/>
    <w:rsid w:val="00581BC2"/>
    <w:rsid w:val="005B168A"/>
    <w:rsid w:val="005C2EA1"/>
    <w:rsid w:val="005C3848"/>
    <w:rsid w:val="005D43ED"/>
    <w:rsid w:val="00605142"/>
    <w:rsid w:val="00612C13"/>
    <w:rsid w:val="006511AA"/>
    <w:rsid w:val="00656814"/>
    <w:rsid w:val="00671A59"/>
    <w:rsid w:val="00672EF0"/>
    <w:rsid w:val="00691F82"/>
    <w:rsid w:val="006B463C"/>
    <w:rsid w:val="006C51B8"/>
    <w:rsid w:val="006F0C5C"/>
    <w:rsid w:val="00702710"/>
    <w:rsid w:val="007258AA"/>
    <w:rsid w:val="00743CCA"/>
    <w:rsid w:val="00746319"/>
    <w:rsid w:val="007875D1"/>
    <w:rsid w:val="00790C29"/>
    <w:rsid w:val="007F0333"/>
    <w:rsid w:val="00800D58"/>
    <w:rsid w:val="00834D93"/>
    <w:rsid w:val="008516CF"/>
    <w:rsid w:val="00862283"/>
    <w:rsid w:val="008A3E9A"/>
    <w:rsid w:val="008A690F"/>
    <w:rsid w:val="00901E5B"/>
    <w:rsid w:val="00923FD8"/>
    <w:rsid w:val="00970E67"/>
    <w:rsid w:val="009821B4"/>
    <w:rsid w:val="009A6AD9"/>
    <w:rsid w:val="009B0CCF"/>
    <w:rsid w:val="009B7F4F"/>
    <w:rsid w:val="009D3EA4"/>
    <w:rsid w:val="009E6632"/>
    <w:rsid w:val="009E6C61"/>
    <w:rsid w:val="00A31D17"/>
    <w:rsid w:val="00A35635"/>
    <w:rsid w:val="00A41107"/>
    <w:rsid w:val="00A50066"/>
    <w:rsid w:val="00A638D7"/>
    <w:rsid w:val="00A668A1"/>
    <w:rsid w:val="00A76E81"/>
    <w:rsid w:val="00A801FF"/>
    <w:rsid w:val="00A83688"/>
    <w:rsid w:val="00A83863"/>
    <w:rsid w:val="00AC3BCD"/>
    <w:rsid w:val="00AD6315"/>
    <w:rsid w:val="00AF1A24"/>
    <w:rsid w:val="00AF4356"/>
    <w:rsid w:val="00B26097"/>
    <w:rsid w:val="00B27625"/>
    <w:rsid w:val="00B675D9"/>
    <w:rsid w:val="00BF5676"/>
    <w:rsid w:val="00CE08A2"/>
    <w:rsid w:val="00CF37B8"/>
    <w:rsid w:val="00D11731"/>
    <w:rsid w:val="00D367E3"/>
    <w:rsid w:val="00D565EA"/>
    <w:rsid w:val="00DA2249"/>
    <w:rsid w:val="00DA581F"/>
    <w:rsid w:val="00DC29A1"/>
    <w:rsid w:val="00DC7405"/>
    <w:rsid w:val="00DD3006"/>
    <w:rsid w:val="00DE2102"/>
    <w:rsid w:val="00E119D1"/>
    <w:rsid w:val="00E713DA"/>
    <w:rsid w:val="00E85CF8"/>
    <w:rsid w:val="00EB353E"/>
    <w:rsid w:val="00ED51D7"/>
    <w:rsid w:val="00EE1DF0"/>
    <w:rsid w:val="00F01887"/>
    <w:rsid w:val="00F215A7"/>
    <w:rsid w:val="00F42DCF"/>
    <w:rsid w:val="00F709F5"/>
    <w:rsid w:val="00F90AE2"/>
    <w:rsid w:val="00FA5CBE"/>
    <w:rsid w:val="00FB641C"/>
    <w:rsid w:val="00FC1073"/>
    <w:rsid w:val="00FF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50189"/>
  <w15:chartTrackingRefBased/>
  <w15:docId w15:val="{96F28419-A005-4E43-9F61-675E4C39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aliases w:val="title"/>
    <w:basedOn w:val="Normal"/>
    <w:next w:val="Normal"/>
    <w:link w:val="Heading1Char"/>
    <w:uiPriority w:val="9"/>
    <w:qFormat/>
    <w:rsid w:val="00FC1073"/>
    <w:pPr>
      <w:keepNext/>
      <w:jc w:val="center"/>
      <w:outlineLvl w:val="0"/>
    </w:pPr>
    <w:rPr>
      <w:rFonts w:ascii="Cambria" w:hAnsi="Cambria" w:cs="Gautami"/>
      <w:b/>
      <w:bCs/>
      <w:kern w:val="32"/>
      <w:sz w:val="32"/>
      <w:szCs w:val="32"/>
      <w:lang w:val="x-none" w:eastAsia="x-none" w:bidi="te-IN"/>
    </w:rPr>
  </w:style>
  <w:style w:type="paragraph" w:styleId="Heading2">
    <w:name w:val="heading 2"/>
    <w:basedOn w:val="Normal"/>
    <w:next w:val="Normal"/>
    <w:link w:val="Heading2Char"/>
    <w:uiPriority w:val="9"/>
    <w:semiHidden/>
    <w:unhideWhenUsed/>
    <w:qFormat/>
    <w:rsid w:val="005679BD"/>
    <w:pPr>
      <w:keepNext/>
      <w:spacing w:before="240" w:after="60"/>
      <w:outlineLvl w:val="1"/>
    </w:pPr>
    <w:rPr>
      <w:rFonts w:ascii="Cambria" w:hAnsi="Cambria"/>
      <w:b/>
      <w:bCs/>
      <w:i/>
      <w:iCs/>
      <w:sz w:val="28"/>
      <w:szCs w:val="28"/>
    </w:rPr>
  </w:style>
  <w:style w:type="paragraph" w:styleId="Heading3">
    <w:name w:val="heading 3"/>
    <w:aliases w:val="Authors"/>
    <w:basedOn w:val="Normal"/>
    <w:next w:val="Normal"/>
    <w:link w:val="Heading3Char"/>
    <w:uiPriority w:val="9"/>
    <w:qFormat/>
    <w:rsid w:val="00FC1073"/>
    <w:pPr>
      <w:keepNext/>
      <w:spacing w:before="240" w:after="60"/>
      <w:outlineLvl w:val="2"/>
    </w:pPr>
    <w:rPr>
      <w:rFonts w:ascii="Cambria" w:hAnsi="Cambria" w:cs="Gautami"/>
      <w:b/>
      <w:bCs/>
      <w:sz w:val="26"/>
      <w:szCs w:val="26"/>
      <w:lang w:val="x-none" w:eastAsia="x-none" w:bidi="te-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link w:val="Heading1"/>
    <w:uiPriority w:val="9"/>
    <w:rPr>
      <w:rFonts w:ascii="Cambria" w:eastAsia="Times New Roman" w:hAnsi="Cambria" w:cs="Times New Roman"/>
      <w:b/>
      <w:bCs/>
      <w:kern w:val="32"/>
      <w:sz w:val="32"/>
      <w:szCs w:val="32"/>
    </w:rPr>
  </w:style>
  <w:style w:type="character" w:customStyle="1" w:styleId="Heading3Char">
    <w:name w:val="Heading 3 Char"/>
    <w:aliases w:val="Authors Char"/>
    <w:link w:val="Heading3"/>
    <w:uiPriority w:val="9"/>
    <w:semiHidden/>
    <w:rPr>
      <w:rFonts w:ascii="Cambria" w:eastAsia="Times New Roman" w:hAnsi="Cambria" w:cs="Times New Roman"/>
      <w:b/>
      <w:bCs/>
      <w:sz w:val="26"/>
      <w:szCs w:val="26"/>
    </w:rPr>
  </w:style>
  <w:style w:type="character" w:styleId="Hyperlink">
    <w:name w:val="Hyperlink"/>
    <w:uiPriority w:val="99"/>
    <w:rsid w:val="007258AA"/>
    <w:rPr>
      <w:rFonts w:cs="Times New Roman"/>
      <w:color w:val="0000FF"/>
      <w:u w:val="single"/>
    </w:rPr>
  </w:style>
  <w:style w:type="paragraph" w:styleId="BodyText">
    <w:name w:val="Body Text"/>
    <w:basedOn w:val="Normal"/>
    <w:link w:val="BodyTextChar"/>
    <w:uiPriority w:val="99"/>
    <w:rsid w:val="007258AA"/>
    <w:pPr>
      <w:suppressAutoHyphens/>
      <w:jc w:val="center"/>
    </w:pPr>
    <w:rPr>
      <w:rFonts w:cs="Gautami"/>
      <w:lang w:val="x-none" w:eastAsia="x-none" w:bidi="te-IN"/>
    </w:rPr>
  </w:style>
  <w:style w:type="character" w:customStyle="1" w:styleId="BodyTextChar">
    <w:name w:val="Body Text Char"/>
    <w:link w:val="BodyText"/>
    <w:uiPriority w:val="99"/>
    <w:semiHidden/>
    <w:rPr>
      <w:sz w:val="24"/>
      <w:szCs w:val="24"/>
    </w:rPr>
  </w:style>
  <w:style w:type="character" w:styleId="CommentReference">
    <w:name w:val="annotation reference"/>
    <w:uiPriority w:val="99"/>
    <w:semiHidden/>
    <w:rsid w:val="00205354"/>
    <w:rPr>
      <w:rFonts w:cs="Times New Roman"/>
      <w:sz w:val="16"/>
      <w:szCs w:val="16"/>
    </w:rPr>
  </w:style>
  <w:style w:type="paragraph" w:styleId="CommentText">
    <w:name w:val="annotation text"/>
    <w:basedOn w:val="Normal"/>
    <w:link w:val="CommentTextChar"/>
    <w:uiPriority w:val="99"/>
    <w:semiHidden/>
    <w:rsid w:val="00205354"/>
    <w:rPr>
      <w:rFonts w:cs="Gautami"/>
      <w:sz w:val="20"/>
      <w:szCs w:val="20"/>
      <w:lang w:val="x-none" w:eastAsia="x-none" w:bidi="te-IN"/>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rsid w:val="00205354"/>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rsid w:val="00205354"/>
    <w:rPr>
      <w:rFonts w:ascii="Tahoma" w:hAnsi="Tahoma" w:cs="Gautami"/>
      <w:sz w:val="16"/>
      <w:szCs w:val="16"/>
      <w:lang w:val="x-none" w:eastAsia="x-none" w:bidi="te-IN"/>
    </w:rPr>
  </w:style>
  <w:style w:type="character" w:customStyle="1" w:styleId="BalloonTextChar">
    <w:name w:val="Balloon Text Char"/>
    <w:link w:val="BalloonText"/>
    <w:uiPriority w:val="99"/>
    <w:semiHidden/>
    <w:rPr>
      <w:rFonts w:ascii="Tahoma" w:hAnsi="Tahoma" w:cs="Tahoma"/>
      <w:sz w:val="16"/>
      <w:szCs w:val="16"/>
    </w:rPr>
  </w:style>
  <w:style w:type="paragraph" w:styleId="BodyTextIndent">
    <w:name w:val="Body Text Indent"/>
    <w:basedOn w:val="Normal"/>
    <w:link w:val="BodyTextIndentChar"/>
    <w:uiPriority w:val="99"/>
    <w:rsid w:val="00FC1073"/>
    <w:pPr>
      <w:spacing w:after="120"/>
      <w:ind w:left="283"/>
    </w:pPr>
    <w:rPr>
      <w:rFonts w:cs="Gautami"/>
      <w:lang w:val="x-none" w:eastAsia="x-none" w:bidi="te-IN"/>
    </w:rPr>
  </w:style>
  <w:style w:type="character" w:customStyle="1" w:styleId="BodyTextIndentChar">
    <w:name w:val="Body Text Indent Char"/>
    <w:link w:val="BodyTextIndent"/>
    <w:uiPriority w:val="99"/>
    <w:semiHidden/>
    <w:rPr>
      <w:sz w:val="24"/>
      <w:szCs w:val="24"/>
    </w:rPr>
  </w:style>
  <w:style w:type="paragraph" w:styleId="Header">
    <w:name w:val="header"/>
    <w:basedOn w:val="Normal"/>
    <w:link w:val="HeaderChar"/>
    <w:uiPriority w:val="99"/>
    <w:unhideWhenUsed/>
    <w:rsid w:val="00671A59"/>
    <w:pPr>
      <w:tabs>
        <w:tab w:val="center" w:pos="4819"/>
        <w:tab w:val="right" w:pos="9638"/>
      </w:tabs>
    </w:pPr>
    <w:rPr>
      <w:rFonts w:cs="Gautami"/>
      <w:lang w:val="x-none" w:eastAsia="x-none" w:bidi="te-IN"/>
    </w:rPr>
  </w:style>
  <w:style w:type="character" w:customStyle="1" w:styleId="HeaderChar">
    <w:name w:val="Header Char"/>
    <w:link w:val="Header"/>
    <w:uiPriority w:val="99"/>
    <w:rsid w:val="00671A59"/>
    <w:rPr>
      <w:sz w:val="24"/>
      <w:szCs w:val="24"/>
    </w:rPr>
  </w:style>
  <w:style w:type="paragraph" w:styleId="Footer">
    <w:name w:val="footer"/>
    <w:basedOn w:val="Normal"/>
    <w:link w:val="FooterChar"/>
    <w:uiPriority w:val="99"/>
    <w:semiHidden/>
    <w:unhideWhenUsed/>
    <w:rsid w:val="00671A59"/>
    <w:pPr>
      <w:tabs>
        <w:tab w:val="center" w:pos="4819"/>
        <w:tab w:val="right" w:pos="9638"/>
      </w:tabs>
    </w:pPr>
    <w:rPr>
      <w:rFonts w:cs="Gautami"/>
      <w:lang w:val="x-none" w:eastAsia="x-none" w:bidi="te-IN"/>
    </w:rPr>
  </w:style>
  <w:style w:type="character" w:customStyle="1" w:styleId="FooterChar">
    <w:name w:val="Footer Char"/>
    <w:link w:val="Footer"/>
    <w:uiPriority w:val="99"/>
    <w:semiHidden/>
    <w:rsid w:val="00671A59"/>
    <w:rPr>
      <w:sz w:val="24"/>
      <w:szCs w:val="24"/>
    </w:rPr>
  </w:style>
  <w:style w:type="paragraph" w:customStyle="1" w:styleId="xmsonormal">
    <w:name w:val="x_msonormal"/>
    <w:basedOn w:val="Normal"/>
    <w:rsid w:val="00A76E81"/>
  </w:style>
  <w:style w:type="paragraph" w:styleId="NormalWeb">
    <w:name w:val="Normal (Web)"/>
    <w:basedOn w:val="Normal"/>
    <w:rsid w:val="00A76E81"/>
  </w:style>
  <w:style w:type="paragraph" w:customStyle="1" w:styleId="xmsonormal0">
    <w:name w:val="xmsonormal"/>
    <w:basedOn w:val="Normal"/>
    <w:rsid w:val="00A76E81"/>
  </w:style>
  <w:style w:type="character" w:customStyle="1" w:styleId="Heading2Char">
    <w:name w:val="Heading 2 Char"/>
    <w:link w:val="Heading2"/>
    <w:uiPriority w:val="9"/>
    <w:semiHidden/>
    <w:rsid w:val="005679BD"/>
    <w:rPr>
      <w:rFonts w:ascii="Cambria" w:eastAsia="Times New Roman" w:hAnsi="Cambria" w:cs="Times New Roman"/>
      <w:b/>
      <w:bCs/>
      <w:i/>
      <w:iCs/>
      <w:sz w:val="28"/>
      <w:szCs w:val="28"/>
      <w:lang w:val="it-IT" w:eastAsia="it-IT"/>
    </w:rPr>
  </w:style>
  <w:style w:type="character" w:styleId="UnresolvedMention">
    <w:name w:val="Unresolved Mention"/>
    <w:basedOn w:val="DefaultParagraphFont"/>
    <w:uiPriority w:val="99"/>
    <w:semiHidden/>
    <w:unhideWhenUsed/>
    <w:rsid w:val="00427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564">
      <w:bodyDiv w:val="1"/>
      <w:marLeft w:val="0"/>
      <w:marRight w:val="0"/>
      <w:marTop w:val="0"/>
      <w:marBottom w:val="0"/>
      <w:divBdr>
        <w:top w:val="none" w:sz="0" w:space="0" w:color="auto"/>
        <w:left w:val="none" w:sz="0" w:space="0" w:color="auto"/>
        <w:bottom w:val="none" w:sz="0" w:space="0" w:color="auto"/>
        <w:right w:val="none" w:sz="0" w:space="0" w:color="auto"/>
      </w:divBdr>
    </w:div>
    <w:div w:id="700864167">
      <w:bodyDiv w:val="1"/>
      <w:marLeft w:val="0"/>
      <w:marRight w:val="0"/>
      <w:marTop w:val="0"/>
      <w:marBottom w:val="0"/>
      <w:divBdr>
        <w:top w:val="none" w:sz="0" w:space="0" w:color="auto"/>
        <w:left w:val="none" w:sz="0" w:space="0" w:color="auto"/>
        <w:bottom w:val="none" w:sz="0" w:space="0" w:color="auto"/>
        <w:right w:val="none" w:sz="0" w:space="0" w:color="auto"/>
      </w:divBdr>
      <w:divsChild>
        <w:div w:id="1146749429">
          <w:marLeft w:val="0"/>
          <w:marRight w:val="0"/>
          <w:marTop w:val="0"/>
          <w:marBottom w:val="0"/>
          <w:divBdr>
            <w:top w:val="none" w:sz="0" w:space="0" w:color="auto"/>
            <w:left w:val="none" w:sz="0" w:space="0" w:color="auto"/>
            <w:bottom w:val="none" w:sz="0" w:space="0" w:color="auto"/>
            <w:right w:val="none" w:sz="0" w:space="0" w:color="auto"/>
          </w:divBdr>
        </w:div>
      </w:divsChild>
    </w:div>
    <w:div w:id="744450180">
      <w:bodyDiv w:val="1"/>
      <w:marLeft w:val="0"/>
      <w:marRight w:val="0"/>
      <w:marTop w:val="0"/>
      <w:marBottom w:val="0"/>
      <w:divBdr>
        <w:top w:val="none" w:sz="0" w:space="0" w:color="auto"/>
        <w:left w:val="none" w:sz="0" w:space="0" w:color="auto"/>
        <w:bottom w:val="none" w:sz="0" w:space="0" w:color="auto"/>
        <w:right w:val="none" w:sz="0" w:space="0" w:color="auto"/>
      </w:divBdr>
      <w:divsChild>
        <w:div w:id="342783813">
          <w:marLeft w:val="0"/>
          <w:marRight w:val="0"/>
          <w:marTop w:val="0"/>
          <w:marBottom w:val="0"/>
          <w:divBdr>
            <w:top w:val="none" w:sz="0" w:space="0" w:color="auto"/>
            <w:left w:val="none" w:sz="0" w:space="0" w:color="auto"/>
            <w:bottom w:val="none" w:sz="0" w:space="0" w:color="auto"/>
            <w:right w:val="none" w:sz="0" w:space="0" w:color="auto"/>
          </w:divBdr>
          <w:divsChild>
            <w:div w:id="666982333">
              <w:marLeft w:val="0"/>
              <w:marRight w:val="0"/>
              <w:marTop w:val="0"/>
              <w:marBottom w:val="0"/>
              <w:divBdr>
                <w:top w:val="none" w:sz="0" w:space="0" w:color="auto"/>
                <w:left w:val="none" w:sz="0" w:space="0" w:color="auto"/>
                <w:bottom w:val="none" w:sz="0" w:space="0" w:color="auto"/>
                <w:right w:val="none" w:sz="0" w:space="0" w:color="auto"/>
              </w:divBdr>
              <w:divsChild>
                <w:div w:id="8050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4647">
      <w:bodyDiv w:val="1"/>
      <w:marLeft w:val="0"/>
      <w:marRight w:val="0"/>
      <w:marTop w:val="0"/>
      <w:marBottom w:val="0"/>
      <w:divBdr>
        <w:top w:val="none" w:sz="0" w:space="0" w:color="auto"/>
        <w:left w:val="none" w:sz="0" w:space="0" w:color="auto"/>
        <w:bottom w:val="none" w:sz="0" w:space="0" w:color="auto"/>
        <w:right w:val="none" w:sz="0" w:space="0" w:color="auto"/>
      </w:divBdr>
    </w:div>
    <w:div w:id="1219711325">
      <w:bodyDiv w:val="1"/>
      <w:marLeft w:val="0"/>
      <w:marRight w:val="0"/>
      <w:marTop w:val="0"/>
      <w:marBottom w:val="0"/>
      <w:divBdr>
        <w:top w:val="none" w:sz="0" w:space="0" w:color="auto"/>
        <w:left w:val="none" w:sz="0" w:space="0" w:color="auto"/>
        <w:bottom w:val="none" w:sz="0" w:space="0" w:color="auto"/>
        <w:right w:val="none" w:sz="0" w:space="0" w:color="auto"/>
      </w:divBdr>
    </w:div>
    <w:div w:id="19461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rcid.org/0000-0003-0264-271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akbar.hossain.7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barhossainwrc@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orcid.org/0000-0003-0264-2712"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24EB-C248-44E0-A576-6759630B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629</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Akbar Hossain</dc:creator>
  <cp:keywords/>
  <cp:lastModifiedBy>Akbar Hossain</cp:lastModifiedBy>
  <cp:revision>12</cp:revision>
  <dcterms:created xsi:type="dcterms:W3CDTF">2025-07-25T16:16:00Z</dcterms:created>
  <dcterms:modified xsi:type="dcterms:W3CDTF">2025-07-25T16:41:00Z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2025-07-25T16:29:21Z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3a450798-3b09-4faf-9715-eb801829534c</vt:lpwstr>
  </property>
  <property fmtid="{D5CDD505-2E9C-101B-9397-08002B2CF9AE}" pid="7" name="MSIP_Label_defa4170-0d19-0005-0004-bc88714345d2_ActionId">
    <vt:lpwstr>58436770-ff28-4a3b-b4a9-d1d64ae15b23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